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D5721" w14:textId="6748F55F" w:rsidR="002F7202" w:rsidRDefault="002F7202" w:rsidP="003D0128">
      <w:pPr>
        <w:pStyle w:val="OZNPROJEKTUwskazaniedatylubwersjiprojektu"/>
      </w:pPr>
      <w:r>
        <w:t>Pr</w:t>
      </w:r>
      <w:r w:rsidRPr="00F96E56">
        <w:t xml:space="preserve">ojekt z dnia </w:t>
      </w:r>
      <w:r w:rsidR="00597EAB">
        <w:t>6 lutego</w:t>
      </w:r>
      <w:r>
        <w:t xml:space="preserve"> 2024</w:t>
      </w:r>
      <w:r w:rsidRPr="00F96E56">
        <w:t> r.</w:t>
      </w:r>
    </w:p>
    <w:p w14:paraId="0AB48900" w14:textId="77777777" w:rsidR="002F7202" w:rsidRPr="00F96E56" w:rsidRDefault="002F7202" w:rsidP="002F7202">
      <w:pPr>
        <w:pStyle w:val="OZNRODZAKTUtznustawalubrozporzdzenieiorganwydajcy"/>
      </w:pPr>
      <w:r w:rsidRPr="00F96E56">
        <w:t>Ustawa</w:t>
      </w:r>
    </w:p>
    <w:p w14:paraId="4AF869CA" w14:textId="6C67BC62" w:rsidR="002F7202" w:rsidRPr="00F96E56" w:rsidRDefault="002F7202" w:rsidP="002F7202">
      <w:pPr>
        <w:pStyle w:val="DATAAKTUdatauchwalenialubwydaniaaktu"/>
      </w:pPr>
      <w:r w:rsidRPr="00F96E56">
        <w:t>z dnia………</w:t>
      </w:r>
      <w:r w:rsidR="003E30CE">
        <w:t>………………</w:t>
      </w:r>
      <w:r w:rsidRPr="00F96E56">
        <w:t>…</w:t>
      </w:r>
    </w:p>
    <w:p w14:paraId="36FF4B57" w14:textId="489B149A" w:rsidR="002F7202" w:rsidRPr="00F96E56" w:rsidRDefault="002F7202" w:rsidP="002F7202">
      <w:pPr>
        <w:pStyle w:val="TYTUAKTUprzedmiotregulacjiustawylubrozporzdzenia"/>
      </w:pPr>
      <w:r w:rsidRPr="00F96E56">
        <w:t xml:space="preserve">o zmianie ustawy o zastawie rejestrowym i rejestrze zastawów oraz ustawy </w:t>
      </w:r>
      <w:r w:rsidR="003D0128">
        <w:t xml:space="preserve">- </w:t>
      </w:r>
      <w:r>
        <w:t>P</w:t>
      </w:r>
      <w:r w:rsidRPr="00F96E56">
        <w:t>rawo o ruchu drogowym</w:t>
      </w:r>
    </w:p>
    <w:p w14:paraId="7AFA2417" w14:textId="77777777" w:rsidR="002F7202" w:rsidRPr="00F96E56" w:rsidRDefault="002F7202" w:rsidP="002F7202">
      <w:pPr>
        <w:pStyle w:val="ARTartustawynprozporzdzenia"/>
      </w:pPr>
      <w:r w:rsidRPr="00F96E56">
        <w:rPr>
          <w:rStyle w:val="Ppogrubienie"/>
        </w:rPr>
        <w:t>Art. 1.</w:t>
      </w:r>
      <w:r w:rsidRPr="00F96E56">
        <w:t xml:space="preserve"> W ustawie z dnia 6 grudnia 1996 r. o zastawie rejestrowym i rejestrze zastawów (Dz. U. z 2018 r. poz. 2017) wprowadza się następujące zmiany:</w:t>
      </w:r>
    </w:p>
    <w:p w14:paraId="69477E3D" w14:textId="77777777" w:rsidR="002F7202" w:rsidRPr="00F96E56" w:rsidRDefault="002F7202" w:rsidP="002F7202">
      <w:pPr>
        <w:pStyle w:val="PKTpunkt"/>
      </w:pPr>
      <w:r w:rsidRPr="00F96E56">
        <w:t>1) art. 18a otrzymuje brzmienie:</w:t>
      </w:r>
    </w:p>
    <w:p w14:paraId="76C2DBF9" w14:textId="77777777" w:rsidR="002F7202" w:rsidRPr="00F96E56" w:rsidRDefault="002F7202" w:rsidP="002F7202">
      <w:pPr>
        <w:pStyle w:val="ZARTzmartartykuempunktem"/>
      </w:pPr>
      <w:r w:rsidRPr="00F96E56">
        <w:t>„Art. 18a. Zastaw rejestrowy wygasa i uznaje się go za wykreślony po upływie dwudziestu lat od chwili wpisu, chyba że strony postanowią o utrzymaniu zastawu na czas dalszy, nie dłuższy niż dziesięć lat, i do rejestru zastawów zostanie złożona zmiana umowy zastawniczej.”</w:t>
      </w:r>
      <w:r>
        <w:t>;</w:t>
      </w:r>
    </w:p>
    <w:p w14:paraId="2C7DDC4A" w14:textId="77777777" w:rsidR="002F7202" w:rsidRPr="00F96E56" w:rsidRDefault="002F7202" w:rsidP="002F7202">
      <w:pPr>
        <w:pStyle w:val="PKTpunkt"/>
      </w:pPr>
      <w:r w:rsidRPr="00F96E56">
        <w:t>2) w art. 19 ust.</w:t>
      </w:r>
      <w:r>
        <w:t xml:space="preserve"> </w:t>
      </w:r>
      <w:r w:rsidRPr="00F96E56">
        <w:t>1 otrzymuje brzmienie:</w:t>
      </w:r>
    </w:p>
    <w:p w14:paraId="7378CE08" w14:textId="70A4CCBA" w:rsidR="002F7202" w:rsidRPr="00F96E56" w:rsidRDefault="002F7202" w:rsidP="002F7202">
      <w:pPr>
        <w:pStyle w:val="ZUSTzmustartykuempunktem"/>
      </w:pPr>
      <w:r w:rsidRPr="00F96E56">
        <w:t>„1. W przypadku wygaśnięcia zastawu rejestrowego podlega on wykreśleniu z</w:t>
      </w:r>
      <w:r w:rsidR="00010D1D">
        <w:t> </w:t>
      </w:r>
      <w:r w:rsidRPr="00F96E56">
        <w:t>rejestru zastawów</w:t>
      </w:r>
      <w:r>
        <w:t>,</w:t>
      </w:r>
      <w:r w:rsidRPr="00F96E56">
        <w:t xml:space="preserve"> z zastrzeżeniem art. 41 ust. 2aa.”</w:t>
      </w:r>
      <w:r>
        <w:t>;</w:t>
      </w:r>
    </w:p>
    <w:p w14:paraId="7C851039" w14:textId="77777777" w:rsidR="002F7202" w:rsidRPr="00F96E56" w:rsidRDefault="002F7202" w:rsidP="002F7202">
      <w:pPr>
        <w:pStyle w:val="PKTpunkt"/>
      </w:pPr>
      <w:r w:rsidRPr="00F96E56">
        <w:t>3) w art. 36 ust. 4 otrzymuje brzmienie:</w:t>
      </w:r>
    </w:p>
    <w:p w14:paraId="17CC5CB6" w14:textId="77777777" w:rsidR="002F7202" w:rsidRPr="00F96E56" w:rsidRDefault="002F7202" w:rsidP="002F7202">
      <w:pPr>
        <w:pStyle w:val="ZUSTzmustartykuempunktem"/>
      </w:pPr>
      <w:r w:rsidRPr="00F96E56">
        <w:t xml:space="preserve">„4. </w:t>
      </w:r>
      <w:bookmarkStart w:id="0" w:name="_Hlk164150064"/>
      <w:bookmarkStart w:id="1" w:name="_Hlk120614280"/>
      <w:r w:rsidRPr="00F96E56">
        <w:t xml:space="preserve">Sąd, który dokonał wpisu zastawu rejestrowego do rejestru zastawów, pozostaje właściwy </w:t>
      </w:r>
      <w:r w:rsidRPr="003B646A">
        <w:t>dla dokonania dalszych wpisów dotyczących tego zastawu</w:t>
      </w:r>
      <w:r>
        <w:t xml:space="preserve"> </w:t>
      </w:r>
      <w:r w:rsidRPr="003B646A">
        <w:t xml:space="preserve">aż do </w:t>
      </w:r>
      <w:r>
        <w:t xml:space="preserve">chwili </w:t>
      </w:r>
      <w:r w:rsidRPr="00F96E56">
        <w:t>wykreślenia zastawu rejestrowego z rejestru zastawów albo uznania go za wykreślony na podstawie art. 18a</w:t>
      </w:r>
      <w:bookmarkEnd w:id="0"/>
      <w:r w:rsidRPr="00F96E56">
        <w:t>.”</w:t>
      </w:r>
      <w:bookmarkEnd w:id="1"/>
      <w:r>
        <w:t>;</w:t>
      </w:r>
    </w:p>
    <w:p w14:paraId="160D6B4A" w14:textId="77777777" w:rsidR="002F7202" w:rsidRPr="00F96E56" w:rsidRDefault="002F7202" w:rsidP="002F7202">
      <w:pPr>
        <w:pStyle w:val="PKTpunkt"/>
      </w:pPr>
      <w:r w:rsidRPr="00F96E56">
        <w:t xml:space="preserve">4) w art. 41 po ust. 2a dodaje się ust. 2aa </w:t>
      </w:r>
      <w:r>
        <w:t xml:space="preserve">i 2ab </w:t>
      </w:r>
      <w:r w:rsidRPr="00F96E56">
        <w:t>w brzmieniu:</w:t>
      </w:r>
    </w:p>
    <w:p w14:paraId="1BD9C010" w14:textId="77777777" w:rsidR="002F7202" w:rsidRDefault="002F7202" w:rsidP="002F7202">
      <w:pPr>
        <w:pStyle w:val="ZUSTzmustartykuempunktem"/>
      </w:pPr>
      <w:r w:rsidRPr="00F96E56">
        <w:t xml:space="preserve">„2aa. </w:t>
      </w:r>
      <w:r w:rsidRPr="007A087A">
        <w:t>W przypadku określonym w art. 18a, nie wydaje się postanowienia i nie dokonuje się wpisu w rejestrze zastawów, a w systemie teleinformatycznym, w którym prowadzony jest rejestr zastawów, na zarządzenie zamieszcza się adnotację, że zastaw wygasł i został uznany za wykreślony z przyczyn, o których mowa w art. 18a</w:t>
      </w:r>
      <w:r>
        <w:t>.</w:t>
      </w:r>
    </w:p>
    <w:p w14:paraId="0BA9F8E9" w14:textId="77777777" w:rsidR="002F7202" w:rsidRPr="00825D25" w:rsidRDefault="002F7202" w:rsidP="002F7202">
      <w:pPr>
        <w:pStyle w:val="ZUSTzmustartykuempunktem"/>
      </w:pPr>
      <w:bookmarkStart w:id="2" w:name="_Hlk29452786"/>
      <w:r w:rsidRPr="00825D25">
        <w:t xml:space="preserve">2ab. </w:t>
      </w:r>
      <w:r>
        <w:t>Sąd odrzuca wniosek o wykreślenie zastawu rejestrowego z rejestru zastawów złożony po wydaniu zarządzenia o zamieszczeniu adnotacji, o której mowa w ust. 2aa</w:t>
      </w:r>
      <w:r w:rsidRPr="00825D25">
        <w:t>.”</w:t>
      </w:r>
      <w:r>
        <w:t>;</w:t>
      </w:r>
    </w:p>
    <w:p w14:paraId="12BEC6FB" w14:textId="77777777" w:rsidR="002F7202" w:rsidRPr="00F96E56" w:rsidRDefault="002F7202" w:rsidP="002F7202">
      <w:pPr>
        <w:pStyle w:val="PKTpunkt"/>
      </w:pPr>
      <w:r w:rsidRPr="00F96E56">
        <w:t>5) w art. 41a dotychczasową treść oznacza się jako ust. 1 i dodaje się ust. 2 w brzmieniu:</w:t>
      </w:r>
    </w:p>
    <w:p w14:paraId="3BE457D6" w14:textId="1B990121" w:rsidR="002F7202" w:rsidRPr="00F96E56" w:rsidRDefault="002F7202" w:rsidP="002F7202">
      <w:pPr>
        <w:pStyle w:val="ZUSTzmustartykuempunktem"/>
      </w:pPr>
      <w:r w:rsidRPr="00F96E56">
        <w:t>„2. W razie wygaśnięcia zastawu rejestrowego na</w:t>
      </w:r>
      <w:r>
        <w:t xml:space="preserve"> </w:t>
      </w:r>
      <w:r w:rsidRPr="00F96E56">
        <w:t xml:space="preserve">cywilnym statku powietrznym lub prawach własności przemysłowej i uznania go za wykreślony na podstawie art. 18a, sąd niezwłocznie informuje o tym organ prowadzący rejestr cywilnych statków powietrznych lub organ prowadzący rejestr danego prawa własności przemysłowej i dołącza </w:t>
      </w:r>
      <w:r>
        <w:t xml:space="preserve">wydruk </w:t>
      </w:r>
      <w:r>
        <w:lastRenderedPageBreak/>
        <w:t>z</w:t>
      </w:r>
      <w:r w:rsidR="00010D1D">
        <w:t> </w:t>
      </w:r>
      <w:r>
        <w:t>systemu teleinformatycznego, w którym prowadzony jest rejestr zastawów,</w:t>
      </w:r>
      <w:r w:rsidRPr="00F96E56">
        <w:t xml:space="preserve"> o</w:t>
      </w:r>
      <w:r w:rsidR="00010D1D">
        <w:t> </w:t>
      </w:r>
      <w:r>
        <w:t>za</w:t>
      </w:r>
      <w:r w:rsidRPr="00F96E56">
        <w:t>mieszczeniu adnotacji, o której mowa w art. 41 ust. 2aa.”</w:t>
      </w:r>
      <w:r>
        <w:t>;</w:t>
      </w:r>
    </w:p>
    <w:p w14:paraId="420A7F9D" w14:textId="77777777" w:rsidR="002F7202" w:rsidRPr="00F96E56" w:rsidRDefault="002F7202" w:rsidP="002F7202">
      <w:pPr>
        <w:pStyle w:val="PKTpunkt"/>
      </w:pPr>
      <w:r w:rsidRPr="00F96E56">
        <w:t>6) w art. 42 ust. 2otrzymuj</w:t>
      </w:r>
      <w:r>
        <w:t>e</w:t>
      </w:r>
      <w:r w:rsidRPr="00F96E56">
        <w:t xml:space="preserve"> brzmienie:</w:t>
      </w:r>
    </w:p>
    <w:p w14:paraId="27CE7FD4" w14:textId="5173762E" w:rsidR="002F7202" w:rsidRPr="00F96E56" w:rsidRDefault="002F7202" w:rsidP="002F7202">
      <w:pPr>
        <w:pStyle w:val="ZUSTzmustartykuempunktem"/>
      </w:pPr>
      <w:r w:rsidRPr="00F96E56">
        <w:t xml:space="preserve">„2. Zadaniem centralnej informacji o zastawach rejestrowych jest: utworzenie i eksploatacja połączeń rejestru zastawów w systemie teleinformatycznym, prowadzenie zbioru informacji z rejestru zastawów oraz udzielanie informacji, wydawanie odpisów i zaświadczeń z rejestru zastawów </w:t>
      </w:r>
      <w:r>
        <w:t xml:space="preserve">na podstawie tego rejestru, a w przypadku zastawów, o których mowa w art. 18a </w:t>
      </w:r>
      <w:r w:rsidR="00D556FD">
        <w:t xml:space="preserve">– </w:t>
      </w:r>
      <w:r>
        <w:t>także na podstawie systemu teleinformatycznego, w którym prowadzony jest ten rejestr.</w:t>
      </w:r>
      <w:r w:rsidRPr="00F96E56">
        <w:t>”</w:t>
      </w:r>
      <w:r>
        <w:t xml:space="preserve">; </w:t>
      </w:r>
    </w:p>
    <w:p w14:paraId="380AC108" w14:textId="77777777" w:rsidR="002F7202" w:rsidRPr="00F96E56" w:rsidRDefault="002F7202" w:rsidP="002F7202">
      <w:pPr>
        <w:pStyle w:val="PKTpunkt"/>
      </w:pPr>
      <w:r w:rsidRPr="00F96E56">
        <w:t>7) w art. 43</w:t>
      </w:r>
      <w:r>
        <w:t xml:space="preserve"> </w:t>
      </w:r>
      <w:r w:rsidRPr="00F96E56">
        <w:t>w pkt 3 wyrazy „Ministrem Finansów” zastępuje się wyrazami „</w:t>
      </w:r>
      <w:r>
        <w:t>m</w:t>
      </w:r>
      <w:r w:rsidRPr="00F96E56">
        <w:t>inistrem właściwym do spraw finansów publicznych.”.</w:t>
      </w:r>
      <w:bookmarkEnd w:id="2"/>
    </w:p>
    <w:p w14:paraId="0F9C21A8" w14:textId="600E5970" w:rsidR="002F7202" w:rsidRPr="00F96E56" w:rsidRDefault="002F7202" w:rsidP="002F7202">
      <w:pPr>
        <w:pStyle w:val="ARTartustawynprozporzdzenia"/>
      </w:pPr>
      <w:r w:rsidRPr="00F96E56">
        <w:rPr>
          <w:rStyle w:val="Ppogrubienie"/>
        </w:rPr>
        <w:t xml:space="preserve">Art. 2. </w:t>
      </w:r>
      <w:r w:rsidRPr="00F96E56">
        <w:t>W</w:t>
      </w:r>
      <w:r w:rsidRPr="00F96E56">
        <w:rPr>
          <w:rStyle w:val="Ppogrubienie"/>
        </w:rPr>
        <w:t> </w:t>
      </w:r>
      <w:r w:rsidRPr="00F96E56">
        <w:t>ustawie z </w:t>
      </w:r>
      <w:bookmarkStart w:id="3" w:name="_Hlk43371294"/>
      <w:r w:rsidRPr="00F96E56">
        <w:t xml:space="preserve">dnia 20 czerwca 1997 r. </w:t>
      </w:r>
      <w:r w:rsidR="00751207">
        <w:t>–</w:t>
      </w:r>
      <w:r w:rsidRPr="00F96E56">
        <w:t xml:space="preserve"> Prawo o ruchu drogowym (Dz. U. z 202</w:t>
      </w:r>
      <w:r w:rsidR="00751207">
        <w:t>4</w:t>
      </w:r>
      <w:r w:rsidR="00010D1D">
        <w:t> </w:t>
      </w:r>
      <w:r w:rsidRPr="00F96E56">
        <w:t>r. poz. </w:t>
      </w:r>
      <w:r>
        <w:t>1</w:t>
      </w:r>
      <w:r w:rsidR="00751207">
        <w:t>251</w:t>
      </w:r>
      <w:r w:rsidRPr="00F96E56">
        <w:t>)</w:t>
      </w:r>
      <w:bookmarkEnd w:id="3"/>
      <w:r w:rsidRPr="00F96E56">
        <w:t xml:space="preserve"> wprowadza się następujące zmiany:</w:t>
      </w:r>
    </w:p>
    <w:p w14:paraId="73C3E406" w14:textId="77777777" w:rsidR="002F7202" w:rsidRPr="00F96E56" w:rsidRDefault="002F7202" w:rsidP="002F7202">
      <w:pPr>
        <w:pStyle w:val="PKTpunkt"/>
      </w:pPr>
      <w:r w:rsidRPr="00F96E56">
        <w:t xml:space="preserve">1) w art. 80b ust. 1 </w:t>
      </w:r>
      <w:r>
        <w:t xml:space="preserve">w </w:t>
      </w:r>
      <w:r w:rsidRPr="00F96E56">
        <w:t>pkt 7 po lit. h dodaje się lit. ha w brzmieniu:</w:t>
      </w:r>
    </w:p>
    <w:p w14:paraId="3D0FAAA6" w14:textId="77777777" w:rsidR="002F7202" w:rsidRPr="00F96E56" w:rsidRDefault="002F7202" w:rsidP="002F7202">
      <w:pPr>
        <w:pStyle w:val="ZLITzmlitartykuempunktem"/>
      </w:pPr>
      <w:r w:rsidRPr="00F96E56">
        <w:t xml:space="preserve">„ha) datę </w:t>
      </w:r>
      <w:r>
        <w:t xml:space="preserve">wydania </w:t>
      </w:r>
      <w:r w:rsidRPr="00F96E56">
        <w:t>zarządzenia, o którym mowa w art. 41 ust. 2aa ustawy z dnia 6 grudnia 1996 r. o zastawie rejestrowym i rejestrze zastawów (Dz. U. z  2018 r. poz. 2017),”</w:t>
      </w:r>
      <w:r>
        <w:t>;</w:t>
      </w:r>
    </w:p>
    <w:p w14:paraId="1D126E82" w14:textId="77777777" w:rsidR="002F7202" w:rsidRPr="00F96E56" w:rsidRDefault="002F7202" w:rsidP="002F7202">
      <w:pPr>
        <w:pStyle w:val="PKTpunkt"/>
      </w:pPr>
      <w:r w:rsidRPr="00F96E56">
        <w:t>2) w art. 80ba ust. 1 pkt 5 otrzymuje brzmienie:</w:t>
      </w:r>
    </w:p>
    <w:p w14:paraId="672640A6" w14:textId="77777777" w:rsidR="002F7202" w:rsidRPr="00F96E56" w:rsidRDefault="002F7202" w:rsidP="002F7202">
      <w:pPr>
        <w:pStyle w:val="ZPKTzmpktartykuempunktem"/>
      </w:pPr>
      <w:r w:rsidRPr="00F96E56">
        <w:t xml:space="preserve">„5)   przez centralną informację o zastawach rejestrowych, za pośrednictwem systemu teleinformatycznego Ministra Sprawiedliwości, niezwłocznie po dokonaniu przez sąd wpisu zastawu rejestrowego do rejestru zastawów albo </w:t>
      </w:r>
      <w:r>
        <w:t xml:space="preserve">zamieszczeniu </w:t>
      </w:r>
      <w:r w:rsidRPr="00F96E56">
        <w:t>adnotacji w systemie teleinformatycznym, o której mowa w art. 41 ust.</w:t>
      </w:r>
      <w:r>
        <w:t xml:space="preserve"> </w:t>
      </w:r>
      <w:r w:rsidRPr="00F96E56">
        <w:t xml:space="preserve">2aa ustawy z dnia 6 grudnia 1996 r. o zastawie rejestrowym i rejestrze zastawów </w:t>
      </w:r>
      <w:r>
        <w:t xml:space="preserve">- </w:t>
      </w:r>
      <w:r w:rsidRPr="00F96E56">
        <w:t>w zakresie danych, o których mowa w art. 80b ust. 1 pkt 7;”.</w:t>
      </w:r>
    </w:p>
    <w:p w14:paraId="418B0ED3" w14:textId="77777777" w:rsidR="002F7202" w:rsidRPr="00F96E56" w:rsidRDefault="002F7202" w:rsidP="002F7202">
      <w:pPr>
        <w:pStyle w:val="ARTartustawynprozporzdzenia"/>
      </w:pPr>
      <w:r w:rsidRPr="002E5DEA">
        <w:rPr>
          <w:rStyle w:val="Ppogrubienie"/>
        </w:rPr>
        <w:t>Art. 3.</w:t>
      </w:r>
      <w:r w:rsidRPr="00F96E56">
        <w:t xml:space="preserve"> Do postępowań wszczętych z urzędu na podstawie art. 18a zdanie drugie ustawy </w:t>
      </w:r>
      <w:r>
        <w:t>zmienianej w art. 1</w:t>
      </w:r>
      <w:r w:rsidRPr="00F96E56">
        <w:t xml:space="preserve"> w brzmieniu dotychczasowym i niezakończonych do dnia wejścia w życie niniejszej ustawy stosuje się przepisy dotychczasowe. </w:t>
      </w:r>
    </w:p>
    <w:p w14:paraId="0EC48B6C" w14:textId="2472B057" w:rsidR="002F7202" w:rsidRPr="00F96E56" w:rsidRDefault="002F7202" w:rsidP="002F7202">
      <w:pPr>
        <w:pStyle w:val="ARTartustawynprozporzdzenia"/>
      </w:pPr>
      <w:r w:rsidRPr="002E5DEA">
        <w:rPr>
          <w:rStyle w:val="Ppogrubienie"/>
        </w:rPr>
        <w:t>Art. 4.</w:t>
      </w:r>
      <w:r w:rsidRPr="00F96E56">
        <w:t xml:space="preserve"> W przypadku zastawów</w:t>
      </w:r>
      <w:r>
        <w:t xml:space="preserve"> rejestrowych</w:t>
      </w:r>
      <w:r w:rsidRPr="00F96E56">
        <w:t>, które wygasły z mocy prawa przed dniem wejścia w życie niniejszej ustawy</w:t>
      </w:r>
      <w:r w:rsidR="00D721B6">
        <w:t>,</w:t>
      </w:r>
      <w:r w:rsidRPr="00F96E56">
        <w:t xml:space="preserve"> sądy rejestrowe </w:t>
      </w:r>
      <w:r>
        <w:t>za</w:t>
      </w:r>
      <w:r w:rsidRPr="00F96E56">
        <w:t>mieszczą adnotację, o której mowa w</w:t>
      </w:r>
      <w:r w:rsidR="00010D1D">
        <w:t> </w:t>
      </w:r>
      <w:r w:rsidRPr="00F96E56">
        <w:t>art.</w:t>
      </w:r>
      <w:r w:rsidR="00010D1D">
        <w:t> </w:t>
      </w:r>
      <w:r w:rsidRPr="00F96E56">
        <w:t xml:space="preserve">41 ust. 2aa ustawy </w:t>
      </w:r>
      <w:r>
        <w:t>zmienianej w art. 1</w:t>
      </w:r>
      <w:r w:rsidRPr="00F96E56">
        <w:t>, nie później niż w terminie 5 lat od dnia wejścia w życie niniejszej ustawy.</w:t>
      </w:r>
    </w:p>
    <w:p w14:paraId="2DD61697" w14:textId="74D64912" w:rsidR="00E21662" w:rsidRDefault="002F7202" w:rsidP="003D0128">
      <w:pPr>
        <w:pStyle w:val="ARTartustawynprozporzdzenia"/>
      </w:pPr>
      <w:r w:rsidRPr="00F96E56">
        <w:rPr>
          <w:rStyle w:val="Ppogrubienie"/>
        </w:rPr>
        <w:t>Art. 5.</w:t>
      </w:r>
      <w:r w:rsidRPr="00F96E56">
        <w:t xml:space="preserve"> Ustawa wchodzi w życie po upływie 9 miesięcy od dnia ogłoszenia.</w:t>
      </w:r>
    </w:p>
    <w:p w14:paraId="37513683" w14:textId="77777777" w:rsidR="003D0128" w:rsidRDefault="003D0128" w:rsidP="003D0128">
      <w:pPr>
        <w:pStyle w:val="ARTartustawynprozporzdzenia"/>
      </w:pPr>
    </w:p>
    <w:p w14:paraId="5DFD8D56" w14:textId="77777777" w:rsidR="00E21662" w:rsidRPr="00EB535F" w:rsidRDefault="00E21662" w:rsidP="00E21662">
      <w:pPr>
        <w:pStyle w:val="ODNONIKtreodnonika"/>
        <w:rPr>
          <w:rStyle w:val="Kkursywa"/>
        </w:rPr>
      </w:pPr>
      <w:r w:rsidRPr="00EB535F">
        <w:rPr>
          <w:rStyle w:val="Kkursywa"/>
        </w:rPr>
        <w:lastRenderedPageBreak/>
        <w:t>Opracowano pod względem prawnym, legislacyjnym i redakcyjnym</w:t>
      </w:r>
    </w:p>
    <w:p w14:paraId="632414CD" w14:textId="77777777" w:rsidR="00E21662" w:rsidRPr="00EB535F" w:rsidRDefault="00E21662" w:rsidP="00E21662">
      <w:pPr>
        <w:pStyle w:val="ODNONIKtreodnonika"/>
        <w:rPr>
          <w:rStyle w:val="Kkursywa"/>
        </w:rPr>
      </w:pPr>
      <w:r w:rsidRPr="00EB535F">
        <w:rPr>
          <w:rStyle w:val="Kkursywa"/>
        </w:rPr>
        <w:t xml:space="preserve">Zastępca Dyrektora Departamentu Legislacyjnego </w:t>
      </w:r>
    </w:p>
    <w:p w14:paraId="7A3EE046" w14:textId="77777777" w:rsidR="00E21662" w:rsidRPr="00EB535F" w:rsidRDefault="00E21662" w:rsidP="00E21662">
      <w:pPr>
        <w:pStyle w:val="ODNONIKtreodnonika"/>
        <w:rPr>
          <w:rStyle w:val="Kkursywa"/>
        </w:rPr>
      </w:pPr>
      <w:r w:rsidRPr="00EB535F">
        <w:rPr>
          <w:rStyle w:val="Kkursywa"/>
        </w:rPr>
        <w:t>Łukasz Paszka</w:t>
      </w:r>
    </w:p>
    <w:p w14:paraId="592EDB88" w14:textId="77777777" w:rsidR="00E21662" w:rsidRPr="00EB535F" w:rsidRDefault="00E21662" w:rsidP="00E21662">
      <w:pPr>
        <w:pStyle w:val="ODNONIKtreodnonika"/>
      </w:pPr>
      <w:r w:rsidRPr="00EB535F">
        <w:t>(podpisano elektronicznie)</w:t>
      </w:r>
    </w:p>
    <w:p w14:paraId="72D96432" w14:textId="77777777" w:rsidR="00E21662" w:rsidRPr="00F96E56" w:rsidRDefault="00E21662" w:rsidP="002F7202">
      <w:pPr>
        <w:pStyle w:val="ARTartustawynprozporzdzenia"/>
      </w:pPr>
    </w:p>
    <w:p w14:paraId="28167E4A" w14:textId="77777777" w:rsidR="002F7202" w:rsidRDefault="002F7202" w:rsidP="002F7202"/>
    <w:p w14:paraId="01F79BC0" w14:textId="77777777" w:rsidR="002F7202" w:rsidRDefault="002F7202" w:rsidP="002F7202"/>
    <w:p w14:paraId="131ED770" w14:textId="77777777" w:rsidR="002F7202" w:rsidRDefault="002F7202" w:rsidP="002F7202"/>
    <w:p w14:paraId="213BB07E" w14:textId="77777777" w:rsidR="002F7202" w:rsidRPr="00AC7B2F" w:rsidRDefault="002F7202" w:rsidP="002F7202"/>
    <w:p w14:paraId="09EEA339" w14:textId="77777777" w:rsidR="002F7202" w:rsidRDefault="002F7202" w:rsidP="002F7202"/>
    <w:p w14:paraId="22F88632" w14:textId="77777777" w:rsidR="002F7202" w:rsidRDefault="002F7202" w:rsidP="002F7202"/>
    <w:p w14:paraId="3340E064" w14:textId="77777777" w:rsidR="002F7202" w:rsidRDefault="002F7202" w:rsidP="002F7202"/>
    <w:p w14:paraId="5AED26F5" w14:textId="77777777" w:rsidR="002F7202" w:rsidRPr="00AC7B2F" w:rsidRDefault="002F7202" w:rsidP="002F7202"/>
    <w:p w14:paraId="56FC5B8C" w14:textId="77777777" w:rsidR="002F7202" w:rsidRPr="00A5444A" w:rsidRDefault="002F7202" w:rsidP="002F7202"/>
    <w:p w14:paraId="3775D670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DCEEB" w14:textId="77777777" w:rsidR="00A57C93" w:rsidRDefault="00A57C93">
      <w:r>
        <w:separator/>
      </w:r>
    </w:p>
  </w:endnote>
  <w:endnote w:type="continuationSeparator" w:id="0">
    <w:p w14:paraId="4B118BCF" w14:textId="77777777" w:rsidR="00A57C93" w:rsidRDefault="00A5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D8BC1" w14:textId="77777777" w:rsidR="00A57C93" w:rsidRDefault="00A57C93">
      <w:r>
        <w:separator/>
      </w:r>
    </w:p>
  </w:footnote>
  <w:footnote w:type="continuationSeparator" w:id="0">
    <w:p w14:paraId="0C9EF75A" w14:textId="77777777" w:rsidR="00A57C93" w:rsidRDefault="00A57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8956B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55782267">
    <w:abstractNumId w:val="23"/>
  </w:num>
  <w:num w:numId="2" w16cid:durableId="570039582">
    <w:abstractNumId w:val="23"/>
  </w:num>
  <w:num w:numId="3" w16cid:durableId="1288396610">
    <w:abstractNumId w:val="18"/>
  </w:num>
  <w:num w:numId="4" w16cid:durableId="696345350">
    <w:abstractNumId w:val="18"/>
  </w:num>
  <w:num w:numId="5" w16cid:durableId="44649634">
    <w:abstractNumId w:val="35"/>
  </w:num>
  <w:num w:numId="6" w16cid:durableId="1005479255">
    <w:abstractNumId w:val="31"/>
  </w:num>
  <w:num w:numId="7" w16cid:durableId="1007365956">
    <w:abstractNumId w:val="35"/>
  </w:num>
  <w:num w:numId="8" w16cid:durableId="1523084101">
    <w:abstractNumId w:val="31"/>
  </w:num>
  <w:num w:numId="9" w16cid:durableId="350960591">
    <w:abstractNumId w:val="35"/>
  </w:num>
  <w:num w:numId="10" w16cid:durableId="1891303996">
    <w:abstractNumId w:val="31"/>
  </w:num>
  <w:num w:numId="11" w16cid:durableId="840435693">
    <w:abstractNumId w:val="14"/>
  </w:num>
  <w:num w:numId="12" w16cid:durableId="1221133015">
    <w:abstractNumId w:val="10"/>
  </w:num>
  <w:num w:numId="13" w16cid:durableId="1898274092">
    <w:abstractNumId w:val="15"/>
  </w:num>
  <w:num w:numId="14" w16cid:durableId="8338422">
    <w:abstractNumId w:val="26"/>
  </w:num>
  <w:num w:numId="15" w16cid:durableId="1748989032">
    <w:abstractNumId w:val="14"/>
  </w:num>
  <w:num w:numId="16" w16cid:durableId="331421983">
    <w:abstractNumId w:val="16"/>
  </w:num>
  <w:num w:numId="17" w16cid:durableId="950356730">
    <w:abstractNumId w:val="8"/>
  </w:num>
  <w:num w:numId="18" w16cid:durableId="1953975070">
    <w:abstractNumId w:val="3"/>
  </w:num>
  <w:num w:numId="19" w16cid:durableId="199049424">
    <w:abstractNumId w:val="2"/>
  </w:num>
  <w:num w:numId="20" w16cid:durableId="1118993241">
    <w:abstractNumId w:val="1"/>
  </w:num>
  <w:num w:numId="21" w16cid:durableId="604581392">
    <w:abstractNumId w:val="0"/>
  </w:num>
  <w:num w:numId="22" w16cid:durableId="1091588182">
    <w:abstractNumId w:val="9"/>
  </w:num>
  <w:num w:numId="23" w16cid:durableId="692458798">
    <w:abstractNumId w:val="7"/>
  </w:num>
  <w:num w:numId="24" w16cid:durableId="1362323422">
    <w:abstractNumId w:val="6"/>
  </w:num>
  <w:num w:numId="25" w16cid:durableId="986931903">
    <w:abstractNumId w:val="5"/>
  </w:num>
  <w:num w:numId="26" w16cid:durableId="1769277842">
    <w:abstractNumId w:val="4"/>
  </w:num>
  <w:num w:numId="27" w16cid:durableId="1655142934">
    <w:abstractNumId w:val="33"/>
  </w:num>
  <w:num w:numId="28" w16cid:durableId="1264917329">
    <w:abstractNumId w:val="25"/>
  </w:num>
  <w:num w:numId="29" w16cid:durableId="1945454858">
    <w:abstractNumId w:val="36"/>
  </w:num>
  <w:num w:numId="30" w16cid:durableId="1940218175">
    <w:abstractNumId w:val="32"/>
  </w:num>
  <w:num w:numId="31" w16cid:durableId="2039355332">
    <w:abstractNumId w:val="19"/>
  </w:num>
  <w:num w:numId="32" w16cid:durableId="761799887">
    <w:abstractNumId w:val="11"/>
  </w:num>
  <w:num w:numId="33" w16cid:durableId="512915503">
    <w:abstractNumId w:val="30"/>
  </w:num>
  <w:num w:numId="34" w16cid:durableId="1231307874">
    <w:abstractNumId w:val="20"/>
  </w:num>
  <w:num w:numId="35" w16cid:durableId="1739355926">
    <w:abstractNumId w:val="17"/>
  </w:num>
  <w:num w:numId="36" w16cid:durableId="1606618699">
    <w:abstractNumId w:val="22"/>
  </w:num>
  <w:num w:numId="37" w16cid:durableId="1931695902">
    <w:abstractNumId w:val="27"/>
  </w:num>
  <w:num w:numId="38" w16cid:durableId="1699772259">
    <w:abstractNumId w:val="24"/>
  </w:num>
  <w:num w:numId="39" w16cid:durableId="1670861941">
    <w:abstractNumId w:val="13"/>
  </w:num>
  <w:num w:numId="40" w16cid:durableId="1618951904">
    <w:abstractNumId w:val="29"/>
  </w:num>
  <w:num w:numId="41" w16cid:durableId="1975403272">
    <w:abstractNumId w:val="28"/>
  </w:num>
  <w:num w:numId="42" w16cid:durableId="1150638270">
    <w:abstractNumId w:val="21"/>
  </w:num>
  <w:num w:numId="43" w16cid:durableId="821432425">
    <w:abstractNumId w:val="34"/>
  </w:num>
  <w:num w:numId="44" w16cid:durableId="13665166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02"/>
    <w:rsid w:val="000012DA"/>
    <w:rsid w:val="0000246E"/>
    <w:rsid w:val="00003862"/>
    <w:rsid w:val="00010D1D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71CC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61DE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2F7202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0128"/>
    <w:rsid w:val="003D12C2"/>
    <w:rsid w:val="003D31B9"/>
    <w:rsid w:val="003D3867"/>
    <w:rsid w:val="003E0D1A"/>
    <w:rsid w:val="003E2DA3"/>
    <w:rsid w:val="003E30CE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97EAB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1207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0974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57C93"/>
    <w:rsid w:val="00A600FC"/>
    <w:rsid w:val="00A6097D"/>
    <w:rsid w:val="00A60BCA"/>
    <w:rsid w:val="00A613A4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0BA6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5657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0F25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0192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1A8E"/>
    <w:rsid w:val="00D47D7A"/>
    <w:rsid w:val="00D50ABD"/>
    <w:rsid w:val="00D55290"/>
    <w:rsid w:val="00D556FD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1B6"/>
    <w:rsid w:val="00D72A54"/>
    <w:rsid w:val="00D72CC1"/>
    <w:rsid w:val="00D76EC9"/>
    <w:rsid w:val="00D80E7D"/>
    <w:rsid w:val="00D81397"/>
    <w:rsid w:val="00D848B9"/>
    <w:rsid w:val="00D8567B"/>
    <w:rsid w:val="00D90E69"/>
    <w:rsid w:val="00D91368"/>
    <w:rsid w:val="00D93106"/>
    <w:rsid w:val="00D933E9"/>
    <w:rsid w:val="00D9505D"/>
    <w:rsid w:val="00D953D0"/>
    <w:rsid w:val="00D959F5"/>
    <w:rsid w:val="00D961C8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1662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496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8311F"/>
  <w15:docId w15:val="{471996DD-EDCA-4C13-97F0-6094F792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Ulak Tomasz  (DPG)</dc:creator>
  <cp:lastModifiedBy>Perczyński Piotr  (DL)</cp:lastModifiedBy>
  <cp:revision>2</cp:revision>
  <cp:lastPrinted>2012-04-23T06:39:00Z</cp:lastPrinted>
  <dcterms:created xsi:type="dcterms:W3CDTF">2025-02-13T16:56:00Z</dcterms:created>
  <dcterms:modified xsi:type="dcterms:W3CDTF">2025-02-13T16:56:00Z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